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1C2E57">
      <w:pPr>
        <w:pStyle w:val="2"/>
        <w:tabs>
          <w:tab w:val="left" w:pos="0"/>
        </w:tabs>
        <w:autoSpaceDE w:val="0"/>
        <w:autoSpaceDN w:val="0"/>
        <w:adjustRightInd w:val="0"/>
        <w:spacing w:before="0" w:after="0" w:line="360" w:lineRule="auto"/>
        <w:jc w:val="center"/>
        <w:rPr>
          <w:rFonts w:ascii="华文中宋" w:hAnsi="华文中宋" w:eastAsia="华文中宋"/>
        </w:rPr>
      </w:pPr>
      <w:bookmarkStart w:id="0" w:name="_Toc28359044"/>
      <w:bookmarkStart w:id="1" w:name="_Toc35393834"/>
      <w:r>
        <w:rPr>
          <w:rFonts w:hint="eastAsia" w:ascii="华文中宋" w:hAnsi="华文中宋" w:eastAsia="华文中宋"/>
          <w:lang w:val="en-US" w:eastAsia="zh-CN"/>
        </w:rPr>
        <w:t>投诉</w:t>
      </w:r>
      <w:r>
        <w:rPr>
          <w:rFonts w:hint="eastAsia" w:ascii="华文中宋" w:hAnsi="华文中宋" w:eastAsia="华文中宋"/>
        </w:rPr>
        <w:t>处理结果公告</w:t>
      </w:r>
      <w:bookmarkEnd w:id="0"/>
      <w:bookmarkEnd w:id="1"/>
    </w:p>
    <w:p w14:paraId="0CFA6F5B">
      <w:pPr>
        <w:ind w:firstLine="560" w:firstLineChars="200"/>
        <w:rPr>
          <w:rFonts w:ascii="黑体" w:hAnsi="黑体" w:eastAsia="黑体"/>
          <w:sz w:val="28"/>
          <w:szCs w:val="28"/>
        </w:rPr>
      </w:pPr>
      <w:r>
        <w:rPr>
          <w:rFonts w:hint="eastAsia" w:ascii="黑体" w:hAnsi="黑体" w:eastAsia="黑体"/>
          <w:sz w:val="28"/>
          <w:szCs w:val="28"/>
        </w:rPr>
        <w:t>一、项目编号：</w:t>
      </w:r>
      <w:r>
        <w:rPr>
          <w:rFonts w:hint="eastAsia" w:ascii="仿宋" w:hAnsi="仿宋" w:eastAsia="仿宋"/>
          <w:sz w:val="28"/>
          <w:szCs w:val="28"/>
          <w:u w:val="single"/>
        </w:rPr>
        <w:t>　　中心集采-YC2023-0-71　　　　</w:t>
      </w:r>
    </w:p>
    <w:p w14:paraId="391798BE">
      <w:pPr>
        <w:ind w:firstLine="560" w:firstLineChars="200"/>
        <w:rPr>
          <w:rFonts w:hint="default" w:ascii="仿宋" w:hAnsi="仿宋" w:eastAsia="仿宋"/>
          <w:sz w:val="28"/>
          <w:szCs w:val="28"/>
          <w:u w:val="single"/>
          <w:lang w:val="en-US" w:eastAsia="zh-CN"/>
        </w:rPr>
      </w:pPr>
      <w:r>
        <w:rPr>
          <w:rFonts w:hint="eastAsia" w:ascii="黑体" w:hAnsi="黑体" w:eastAsia="黑体"/>
          <w:sz w:val="28"/>
          <w:szCs w:val="28"/>
        </w:rPr>
        <w:t>二、项目名称：</w:t>
      </w:r>
      <w:r>
        <w:rPr>
          <w:rFonts w:hint="eastAsia" w:ascii="仿宋" w:hAnsi="仿宋" w:eastAsia="仿宋"/>
          <w:sz w:val="28"/>
          <w:szCs w:val="28"/>
          <w:u w:val="single"/>
        </w:rPr>
        <w:t>　　宜春职业技术学院分体空调项目（第四次）</w:t>
      </w:r>
      <w:r>
        <w:rPr>
          <w:rFonts w:hint="eastAsia" w:ascii="仿宋" w:hAnsi="仿宋" w:eastAsia="仿宋"/>
          <w:sz w:val="28"/>
          <w:szCs w:val="28"/>
          <w:u w:val="single"/>
          <w:lang w:val="en-US" w:eastAsia="zh-CN"/>
        </w:rPr>
        <w:t xml:space="preserve">    </w:t>
      </w:r>
    </w:p>
    <w:p w14:paraId="4D24E88D">
      <w:pPr>
        <w:ind w:firstLine="560" w:firstLineChars="200"/>
        <w:rPr>
          <w:rFonts w:ascii="黑体" w:hAnsi="黑体" w:eastAsia="黑体"/>
          <w:sz w:val="28"/>
          <w:szCs w:val="28"/>
        </w:rPr>
      </w:pPr>
      <w:r>
        <w:rPr>
          <w:rFonts w:hint="eastAsia" w:ascii="黑体" w:hAnsi="黑体" w:eastAsia="黑体"/>
          <w:sz w:val="28"/>
          <w:szCs w:val="28"/>
        </w:rPr>
        <w:t>三、相关当事人</w:t>
      </w:r>
    </w:p>
    <w:p w14:paraId="27298635">
      <w:pPr>
        <w:ind w:firstLine="565" w:firstLineChars="202"/>
        <w:rPr>
          <w:rFonts w:hint="default" w:ascii="仿宋" w:hAnsi="仿宋" w:eastAsia="仿宋"/>
          <w:sz w:val="28"/>
          <w:szCs w:val="28"/>
          <w:u w:val="single"/>
          <w:lang w:val="en-US" w:eastAsia="zh-CN"/>
        </w:rPr>
      </w:pPr>
      <w:r>
        <w:rPr>
          <w:rFonts w:hint="eastAsia" w:ascii="仿宋" w:hAnsi="仿宋" w:eastAsia="仿宋"/>
          <w:sz w:val="28"/>
          <w:szCs w:val="28"/>
        </w:rPr>
        <w:t>当事人1：</w:t>
      </w:r>
      <w:r>
        <w:rPr>
          <w:rFonts w:hint="eastAsia" w:ascii="仿宋" w:hAnsi="仿宋" w:eastAsia="仿宋"/>
          <w:sz w:val="28"/>
          <w:szCs w:val="28"/>
          <w:u w:val="single"/>
        </w:rPr>
        <w:t>江苏启飞商贸有限公司</w:t>
      </w:r>
      <w:r>
        <w:rPr>
          <w:rFonts w:hint="eastAsia" w:ascii="仿宋" w:hAnsi="仿宋" w:eastAsia="仿宋"/>
          <w:sz w:val="28"/>
          <w:szCs w:val="28"/>
          <w:u w:val="single"/>
          <w:lang w:val="en-US" w:eastAsia="zh-CN"/>
        </w:rPr>
        <w:t xml:space="preserve">   </w:t>
      </w:r>
    </w:p>
    <w:p w14:paraId="5A3204B1">
      <w:pPr>
        <w:ind w:firstLine="565" w:firstLineChars="202"/>
        <w:rPr>
          <w:rFonts w:hint="eastAsia" w:ascii="仿宋" w:hAnsi="仿宋" w:eastAsia="仿宋"/>
          <w:sz w:val="28"/>
          <w:szCs w:val="28"/>
          <w:u w:val="single"/>
        </w:rPr>
      </w:pPr>
      <w:r>
        <w:rPr>
          <w:rFonts w:hint="eastAsia" w:ascii="仿宋" w:hAnsi="仿宋" w:eastAsia="仿宋"/>
          <w:sz w:val="28"/>
          <w:szCs w:val="28"/>
        </w:rPr>
        <w:t>地 址：</w:t>
      </w:r>
      <w:r>
        <w:rPr>
          <w:rFonts w:hint="eastAsia" w:ascii="仿宋" w:hAnsi="仿宋" w:eastAsia="仿宋"/>
          <w:sz w:val="28"/>
          <w:szCs w:val="28"/>
          <w:u w:val="single"/>
        </w:rPr>
        <w:t>　江苏省扬州市高邮中国纺织服装城C19-7</w:t>
      </w:r>
    </w:p>
    <w:p w14:paraId="4DC61F08">
      <w:pPr>
        <w:ind w:firstLine="565" w:firstLineChars="202"/>
        <w:rPr>
          <w:rFonts w:hint="default" w:ascii="仿宋" w:hAnsi="仿宋" w:eastAsia="仿宋"/>
          <w:sz w:val="28"/>
          <w:szCs w:val="28"/>
          <w:u w:val="single"/>
          <w:lang w:val="en-US" w:eastAsia="zh-CN"/>
        </w:rPr>
      </w:pPr>
      <w:r>
        <w:rPr>
          <w:rFonts w:hint="eastAsia" w:ascii="仿宋" w:hAnsi="仿宋" w:eastAsia="仿宋"/>
          <w:sz w:val="28"/>
          <w:szCs w:val="28"/>
        </w:rPr>
        <w:t>当事人2：</w:t>
      </w:r>
      <w:r>
        <w:rPr>
          <w:rFonts w:hint="eastAsia" w:ascii="仿宋" w:hAnsi="仿宋" w:eastAsia="仿宋"/>
          <w:sz w:val="28"/>
          <w:szCs w:val="28"/>
          <w:u w:val="single"/>
        </w:rPr>
        <w:t>　宜春市公共资源交易中心</w:t>
      </w:r>
      <w:r>
        <w:rPr>
          <w:rFonts w:hint="eastAsia" w:ascii="仿宋" w:hAnsi="仿宋" w:eastAsia="仿宋"/>
          <w:sz w:val="28"/>
          <w:szCs w:val="28"/>
          <w:u w:val="single"/>
          <w:lang w:val="en-US" w:eastAsia="zh-CN"/>
        </w:rPr>
        <w:t xml:space="preserve">  </w:t>
      </w:r>
    </w:p>
    <w:p w14:paraId="1D502498">
      <w:pPr>
        <w:ind w:firstLine="565" w:firstLineChars="202"/>
        <w:rPr>
          <w:rFonts w:hint="eastAsia" w:ascii="仿宋" w:hAnsi="仿宋" w:eastAsia="仿宋"/>
          <w:sz w:val="28"/>
          <w:szCs w:val="28"/>
          <w:u w:val="single"/>
          <w:lang w:val="en-US" w:eastAsia="zh-CN"/>
        </w:rPr>
      </w:pPr>
      <w:r>
        <w:rPr>
          <w:rFonts w:hint="eastAsia" w:ascii="仿宋" w:hAnsi="仿宋" w:eastAsia="仿宋"/>
          <w:sz w:val="28"/>
          <w:szCs w:val="28"/>
        </w:rPr>
        <w:t>地 址：</w:t>
      </w:r>
      <w:r>
        <w:rPr>
          <w:rFonts w:hint="eastAsia" w:ascii="仿宋" w:hAnsi="仿宋" w:eastAsia="仿宋"/>
          <w:sz w:val="28"/>
          <w:szCs w:val="28"/>
          <w:u w:val="single"/>
        </w:rPr>
        <w:t>　江西省宜春市宜阳大厦中座四楼</w:t>
      </w:r>
      <w:r>
        <w:rPr>
          <w:rFonts w:hint="eastAsia" w:ascii="仿宋" w:hAnsi="仿宋" w:eastAsia="仿宋"/>
          <w:sz w:val="28"/>
          <w:szCs w:val="28"/>
          <w:u w:val="single"/>
          <w:lang w:val="en-US" w:eastAsia="zh-CN"/>
        </w:rPr>
        <w:t xml:space="preserve"> </w:t>
      </w:r>
    </w:p>
    <w:p w14:paraId="79F5105C">
      <w:pPr>
        <w:ind w:firstLine="565" w:firstLineChars="202"/>
        <w:rPr>
          <w:rFonts w:hint="default" w:ascii="仿宋" w:hAnsi="仿宋" w:eastAsia="仿宋"/>
          <w:sz w:val="28"/>
          <w:szCs w:val="28"/>
          <w:u w:val="single"/>
          <w:lang w:val="en-US" w:eastAsia="zh-CN"/>
        </w:rPr>
      </w:pPr>
      <w:r>
        <w:rPr>
          <w:rFonts w:hint="eastAsia" w:ascii="仿宋" w:hAnsi="仿宋" w:eastAsia="仿宋"/>
          <w:sz w:val="28"/>
          <w:szCs w:val="28"/>
          <w:u w:val="none"/>
          <w:lang w:val="en-US" w:eastAsia="zh-CN"/>
        </w:rPr>
        <w:t>当事人3：</w:t>
      </w:r>
      <w:r>
        <w:rPr>
          <w:rFonts w:hint="eastAsia" w:ascii="仿宋" w:hAnsi="仿宋" w:eastAsia="仿宋"/>
          <w:sz w:val="28"/>
          <w:szCs w:val="28"/>
          <w:u w:val="single"/>
          <w:lang w:val="en-US" w:eastAsia="zh-CN"/>
        </w:rPr>
        <w:t xml:space="preserve">   宜春职业技术学院  </w:t>
      </w:r>
    </w:p>
    <w:p w14:paraId="2284A506">
      <w:pPr>
        <w:ind w:firstLine="565" w:firstLineChars="202"/>
        <w:rPr>
          <w:rFonts w:hint="eastAsia" w:ascii="仿宋" w:hAnsi="仿宋" w:eastAsia="仿宋"/>
          <w:sz w:val="28"/>
          <w:szCs w:val="28"/>
          <w:u w:val="single"/>
          <w:lang w:val="en-US" w:eastAsia="zh-CN"/>
        </w:rPr>
      </w:pPr>
      <w:r>
        <w:rPr>
          <w:rFonts w:hint="eastAsia" w:ascii="仿宋" w:hAnsi="仿宋" w:eastAsia="仿宋"/>
          <w:sz w:val="28"/>
          <w:szCs w:val="28"/>
          <w:u w:val="none"/>
          <w:lang w:val="en-US" w:eastAsia="zh-CN"/>
        </w:rPr>
        <w:t>地 址：</w:t>
      </w:r>
      <w:r>
        <w:rPr>
          <w:rFonts w:hint="eastAsia" w:ascii="仿宋" w:hAnsi="仿宋" w:eastAsia="仿宋"/>
          <w:sz w:val="28"/>
          <w:szCs w:val="28"/>
          <w:u w:val="single"/>
          <w:lang w:val="en-US" w:eastAsia="zh-CN"/>
        </w:rPr>
        <w:t xml:space="preserve">  宜春市锦绣大道996号  </w:t>
      </w:r>
    </w:p>
    <w:p w14:paraId="1880F84F">
      <w:pPr>
        <w:ind w:firstLine="565" w:firstLineChars="202"/>
        <w:rPr>
          <w:rFonts w:hint="default" w:ascii="仿宋" w:hAnsi="仿宋" w:eastAsia="仿宋"/>
          <w:sz w:val="28"/>
          <w:szCs w:val="28"/>
          <w:u w:val="single"/>
          <w:lang w:val="en-US" w:eastAsia="zh-CN"/>
        </w:rPr>
      </w:pPr>
      <w:r>
        <w:rPr>
          <w:rFonts w:hint="default" w:ascii="仿宋" w:hAnsi="仿宋" w:eastAsia="仿宋"/>
          <w:sz w:val="28"/>
          <w:szCs w:val="28"/>
          <w:u w:val="single"/>
          <w:lang w:val="en-US" w:eastAsia="zh-CN"/>
        </w:rPr>
        <w:t>当事人3： 南昌力天电器有限公司</w:t>
      </w:r>
      <w:r>
        <w:rPr>
          <w:rFonts w:hint="eastAsia" w:ascii="仿宋" w:hAnsi="仿宋" w:eastAsia="仿宋"/>
          <w:sz w:val="28"/>
          <w:szCs w:val="28"/>
          <w:u w:val="single"/>
          <w:lang w:val="en-US" w:eastAsia="zh-CN"/>
        </w:rPr>
        <w:t xml:space="preserve">（中标人）   </w:t>
      </w:r>
      <w:r>
        <w:rPr>
          <w:rFonts w:hint="default" w:ascii="仿宋" w:hAnsi="仿宋" w:eastAsia="仿宋"/>
          <w:sz w:val="28"/>
          <w:szCs w:val="28"/>
          <w:u w:val="single"/>
          <w:lang w:val="en-US" w:eastAsia="zh-CN"/>
        </w:rPr>
        <w:t xml:space="preserve"> </w:t>
      </w:r>
    </w:p>
    <w:p w14:paraId="4D5CD6B8">
      <w:pPr>
        <w:ind w:firstLine="565" w:firstLineChars="202"/>
        <w:rPr>
          <w:rFonts w:hint="default" w:ascii="仿宋" w:hAnsi="仿宋" w:eastAsia="仿宋"/>
          <w:sz w:val="28"/>
          <w:szCs w:val="28"/>
          <w:u w:val="single"/>
          <w:lang w:val="en-US" w:eastAsia="zh-CN"/>
        </w:rPr>
      </w:pPr>
      <w:r>
        <w:rPr>
          <w:rFonts w:hint="default" w:ascii="仿宋" w:hAnsi="仿宋" w:eastAsia="仿宋"/>
          <w:sz w:val="28"/>
          <w:szCs w:val="28"/>
          <w:u w:val="single"/>
          <w:lang w:val="en-US" w:eastAsia="zh-CN"/>
        </w:rPr>
        <w:t>地 址：南昌市红谷滩新区岭北二路288号</w:t>
      </w:r>
      <w:r>
        <w:rPr>
          <w:rFonts w:hint="eastAsia" w:ascii="仿宋" w:hAnsi="仿宋" w:eastAsia="仿宋"/>
          <w:sz w:val="28"/>
          <w:szCs w:val="28"/>
          <w:u w:val="single"/>
          <w:lang w:val="en-US" w:eastAsia="zh-CN"/>
        </w:rPr>
        <w:t xml:space="preserve">   </w:t>
      </w:r>
      <w:r>
        <w:rPr>
          <w:rFonts w:hint="default" w:ascii="仿宋" w:hAnsi="仿宋" w:eastAsia="仿宋"/>
          <w:sz w:val="28"/>
          <w:szCs w:val="28"/>
          <w:u w:val="single"/>
          <w:lang w:val="en-US" w:eastAsia="zh-CN"/>
        </w:rPr>
        <w:t xml:space="preserve"> </w:t>
      </w:r>
    </w:p>
    <w:p w14:paraId="13C24E6D">
      <w:pPr>
        <w:numPr>
          <w:ilvl w:val="0"/>
          <w:numId w:val="0"/>
        </w:numPr>
        <w:ind w:firstLine="560" w:firstLineChars="200"/>
        <w:rPr>
          <w:rFonts w:hint="eastAsia" w:ascii="黑体" w:hAnsi="黑体" w:eastAsia="黑体"/>
          <w:sz w:val="28"/>
          <w:szCs w:val="28"/>
        </w:rPr>
      </w:pPr>
      <w:r>
        <w:rPr>
          <w:rFonts w:hint="eastAsia" w:ascii="黑体" w:hAnsi="黑体" w:eastAsia="黑体" w:cs="Times New Roman"/>
          <w:kern w:val="2"/>
          <w:sz w:val="28"/>
          <w:szCs w:val="28"/>
          <w:lang w:val="en-US" w:eastAsia="zh-CN" w:bidi="ar-SA"/>
        </w:rPr>
        <w:t>四、</w:t>
      </w:r>
      <w:r>
        <w:rPr>
          <w:rFonts w:hint="eastAsia" w:ascii="黑体" w:hAnsi="黑体" w:eastAsia="黑体"/>
          <w:sz w:val="28"/>
          <w:szCs w:val="28"/>
        </w:rPr>
        <w:t>基本情况</w:t>
      </w:r>
    </w:p>
    <w:p w14:paraId="0E9A1020">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投诉人因对被投诉人质疑答复不满意向本机关提起投诉，本机关审查后依法受理，本机关于2024年8月12日正式受理，现已审查结束。</w:t>
      </w:r>
    </w:p>
    <w:p w14:paraId="11030E52">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该项目于2024年6月13日在江西省公共资源交易网发布采购公告，7月5日在江西省公共资源交易网发布中标公告，同日向中标人发出中标通知书，7月26日双方签订合同，7月27日公示合同。</w:t>
      </w:r>
    </w:p>
    <w:p w14:paraId="4895A5C0">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投诉事项1：评标委员会其中4名评审专家没有公正公平的对我司的报价做出评审，认定我司报价过低作出无效标认定。宜春市公共资源交易中心认定我司开标一览表明细中2P柜机 2(KFR-5LW/G888J-X1)单价为2950元，询标过程中提供的证明材料“海信空调有限公司价格说明表”中2P柜机 2(KFR-5LW/G888J-X1)单价为4000元，所投的2P柜机2的价格远低于海信空调有限公司给与投标人的价格，被认定无效标。</w:t>
      </w:r>
    </w:p>
    <w:p w14:paraId="34E7221F">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事实依据：本项目招标2匹柜机有两个标的分别是柜机1和柜机2，我司在投标文件中两个标的投标型号都是海信KFR-5LW/G888J-X1，规格型号技术参数一样，并且投标价格都是2950元。我司提供的海信空调有限公司的价格证明材料中2匹柜机1和2匹柜机2的型号是一样的，2匹柜机1的出厂价格是2500元，2匹柜机2价格是因为询标时间回复时间较短，厂家出现书写笔误，宜春市公共资源交易中心在质疑回复中只认定2匹柜机2的价格是4000元，避开同型号的2匹柜机1的价格是2500元。我司提供的海信空调有限公司的价格证明材料中有合计出厂项目总价是2659300元，评标委员会完全可以按照出厂项目总价减去其它型号对应规格型号的数量的总价而计算出我司投标的同型号柜机1和柜机2的出厂价格都是2500元，同样如果以2匹柜机1的单价计算，评标委员会就可以合计出总价与证明材料上的总价一样。同一个投标项目同一个品牌型号的产品投标价一样，出厂价也一定一样，第一次询标我司已提供厂家对我司投标价格指导背书的材料，第二次询标评标委员会收到我司提供的海信空调有限公司的价格证明材料，明显两个同型号的产品价格不一样是书写笔误，因为本项目从开标到晚上八点多回复询标已接近11个小时，并且要在规定的有限时间内回复比较容易出错，评标委员会应该让我司澄清价格证明材料上两个同品牌型号的单价是以2500元为准还是以4000元为准，显然评标委员会没有让我司澄清有失公平公正。我司提供的价格证明材料同型号的价格不一样，是笔误导致，我司不可能在出厂价的基础上总价亏损490350元投标，我司第一次询标也上传了海信空调有限公司对本项目投标指导报价为3453400元背书材料，评标委员会应该认定同型号的2匹柜机2和2匹柜机1单价为2500元，按照海信空调有限公司出厂价格证明材料写明的总价2659300元认定我司投标有效。</w:t>
      </w:r>
    </w:p>
    <w:p w14:paraId="37B2ADFE">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投诉事项2：南昌力天电器有限公司、江西霖泓科技有限公司、宜春市佳安电器销售服务有限公司和南昌市烨顺商贸有限公司存在串标行为。</w:t>
      </w:r>
    </w:p>
    <w:p w14:paraId="35594B56">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事实依据：经网上查询到新余市第三中学空调采购项目44台2匹柜机格力KFR-50LW/(50536)FNhAc-B2JY01中标单价为3750元，与宜春职业技术学院分体空调项目(第四次)468台2匹柜机1中标型号一样，但是该项目的中标人的投标价格为5010元，宜春幼儿师范高等专科学校单体空调项目16台2匹柜机美的KFR-51LW/G2-1中标单价为3350元，与宜春职业技术学院分体空调项目(第四次)467台2匹柜机2中标型号一样，但是该项目的中标人的投标价格为5010元，同样的型号而且数量较多，投标价确高出了很多，致使560万元的项目预算投标价为557.6785万元。中标人在投标品牌是美的格力的情况下，其他投标人所投的品牌可以判断是格力美的以外的品牌，其他投标人明知所投产品在客观的技术评审丢分很大的情况下能投出接近预算的高价(519万以上)违背了投标应该有的市场竞争。南昌力天电器有限公司和江西霖弘科技有限公司参与该项目的第三次投标，江西霖弘科技有限公司价格分为落后，南昌力天电器有限公司价格得17.88分，技术得63分，江西霖弘科技有限公司价格分18.14 分，技术得37分，江西霖弘科技有限公司比南昌力天电器有限公司技术分少26 分，而且技术评分都是客观分，明知自己投标产品客观技术商务评审丢分如此之大，已经失去投标的意义(靠价格已经拉不平技术分差),反而在第四次投标中投标价为519.225万元，不主动最大限度降低投标报价获取价格分优势，明显两家公司存在串标的行为。</w:t>
      </w:r>
    </w:p>
    <w:p w14:paraId="639CE3DE">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宜春职业技术学院分体空调项目(第四次)评审后，宜春市佳安电器销售服务有限公司投标价542.4万元，价格得28.72分，技术得11分，综合得分39.72分，南昌市烨顺商贸有限公司投标价545.3862万元，价格得28.56分，技术得33.5分，综合得62.06分，江西霖泓科技有限公司投标价519.225万元，价格得30分，技术得37分，综合得67分，南昌力天电器有限公司投标价557.6785万元，价格得27.93分，技术得68分，综合得95.93分。纵观上述得分情况，4家公司投标价顶着预算价，其中3家公司技术商务评审象征性得分，甚至得11分，就是这四家公司事先协商好进行串标，由南昌力天电器有限公司高价中标，侵吞财政资金。</w:t>
      </w:r>
    </w:p>
    <w:p w14:paraId="10127F5D">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投诉请求：认定我司该项目投标有效，重新评选中标人。</w:t>
      </w:r>
    </w:p>
    <w:p w14:paraId="4D14E8C0">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被投诉人1、2称：</w:t>
      </w:r>
    </w:p>
    <w:p w14:paraId="574925B3">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在评标过程中评标委员会针对江苏启飞商贸有限公司报价过低情况已进行询标，经二次询标（详见附件一），该投标人在规定时间内提供的情况说明和证明材料(海信空调有限公司价格说明表)，经评标委员会投票表决后，认为不能有效证明其投标报价的合理性(五名评委中四名评委表决为无效标，刘晓华评委表决为有效标)，并出具《无效通知书》（详见附件二）。</w:t>
      </w:r>
    </w:p>
    <w:p w14:paraId="7264011B">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同时，我中心没有认定江苏启飞商贸有限公司为无效标，在电话咨询评标委员会成员无效原因后，经核实该公司开标一览表明细中2P柜机2（KFR-5LW/G888J-X1）单价为2950元（详见事实依据1），而被询标后提供的证明材料“海信空调有限公司价格说明表”中2P柜机2（KFR-5LW/G888J-X1）单价为4000元（详见事实依据2），该公司所投的2P柜机2的价格远低于海信空调有限公司给与投标人的价格为客观事实。</w:t>
      </w:r>
    </w:p>
    <w:p w14:paraId="44C81218">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江苏启飞商贸有限公司所说“南昌力天电器有限公司、江西霖泓科技有限公司、宜春市佳安电器销售服务有限公司和南昌市烨顺商贸有限公司存在串标行为”都为主观推断或怀疑，我中心在处理质疑的过程中，仅能根据现有的资料进行回复，该公司没有直接证据证明以上四家公司属于《中华人民共和国政府采购法实施条例》第七十四条、《政府采购货物和服务招标投标管理办法》第三十七条中的情形。</w:t>
      </w:r>
    </w:p>
    <w:p w14:paraId="557BDF41">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相关当事人称：</w:t>
      </w:r>
    </w:p>
    <w:p w14:paraId="12132847">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宜春职业技术学院分体空调项目(第四次)评审后，宜春市佳安电器销售服务有限公司投标价542.4万元，价格得28.72分，技术得11分,综合得分39.72分，南品市烨顺商贸有限公司投标价 545. 3862万元，价格得28.56分，技术得33.5分，综合得62.06分，江西霖泓科技有限公司投标价519.225万元，价格得30分，技术得37分，综合得67分，南昌力天电器有限公司投标价557.6785万元，价格得27.93分，技术得68分，综合得95.93分。以上四家公司在投标价格、投标技术得分、投标综合得分上并没有存在任何的关联性，也并没有违反《政府采购货物和服务招标投标管理办法》（87号令）第三十七条中的任意一条，且以上四家公司的投标价格都没有超出本项目预算和响应限价，贵司仅凭主观臆断、并没有实质性地依据来证明南昌力天电器有限公司、江西霖泓科技有限公司、宜春市佳安电器销售服务有限公司和南昌市烨顺商贸有限公司存在串标行为的结果，我单位不予认可。</w:t>
      </w:r>
    </w:p>
    <w:p w14:paraId="67F67058">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本项目评标委员会称：</w:t>
      </w:r>
    </w:p>
    <w:p w14:paraId="31605017">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评标委员会在评审过程中发现江苏启飞商贸有限公司投标报价明显低于其他通过符合性审查投标人的报价，依法对其报价的合理性进行第一次函询，该供应商在限定时间内作出了回应，但其情况说明毫无价值，不能证明其报价的合理性，为慎重起见，经评标委员会商定，对其进行第二次函询。该供应商在限定时间内提供了其所投产品三个空调品牌(海信空调有限公司/海信、青岛海信日立空调系统有限公司/海信、青岛海尔空调器有限公司/海尔)中的海信空调有限公司海信牌的价格说明(产品制造商给投标供应商的供货价格),这个价格说明不能自圆其说(详见附件),而且其它二个品牌未作任何说明。综合考虑本采购项目第三次废标原因(评标开始前，评标委员会已向代理机构工作人员询问了解了前3次废标原因),评标委员会商议后，按照少数服从多数的原则，认定江苏启飞商贸有限公司在合理的时间内，提供的书面说明及相关证明材料，不能证明其报价的合理性，其投标为无效投标。</w:t>
      </w:r>
    </w:p>
    <w:p w14:paraId="4244A114">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经审查，本机关认为：</w:t>
      </w:r>
    </w:p>
    <w:p w14:paraId="7F1D81E5">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投诉事项一为“评审专家没有公正公平的对我司的报价做出评审，认定我司报价过低作出无效标认定”的问题。经审查：本机关已查阅本项目全部供应商的投标文件，投诉人的报价远低于其他供应商，《评标委员会和评标方法暂行规定》第二十一条：“在评标过程中，评标委员会发现投标人的报价明显低于其他投标报价或者在设有标底时明显低于标底，使得其投标报价可能低于其个别成本的，应当要求该投标人作出书面说明并提供相关证明材料。投标人不能合理说明或者不能提供相关证明材料的，由评标委员会认定该投标人以低于成本报价竞标，应当否决其投标。”评审委员会在评审中发现投标人的报价低于其他供应商，要求其作出书面说明并提供相关证明材料并无不当，而且给予了投诉人两次说明的机会，每次均有30分钟，评审委员会已充分保障了投诉人的说明权益、未损害其利益。但从投诉人的两次说明材料均未明确说明其报价低的合理性，首先投诉人的价格说明中仅说明了“海信”品牌挂机、柜机的价格情况，其余品牌的设备、系统等材料的价格并未进行说明、也未提供相应证明材料；其次，从投诉人提供的价格说明中也可以看出“2匹柜机2”的报价远低于“海信空调有限公司”盖章出具的“给予投标人的价格”，投诉人称为“笔误”不予认可，而且即便为“笔误”该责任也应由投诉人自身承担。综上，投诉人的投标报价明显低于其他投标报价，经澄清、说明后也无法证明其报价低的合理性，评审委员会否决其投标并无不当，投诉不成立。</w:t>
      </w:r>
    </w:p>
    <w:p w14:paraId="6447C792">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投诉事项二为“南昌力天电器有限公司、江西霖泓科技有限公司、宜春市佳安电器销售服务有限公司和南昌市烨顺商贸有限公司存在串标行为”，经审查：首先，其他项目的报价与本项目无关，投诉人仅提供网上查询的这几家供应商在其他项目中的报价作为依据认定其在本项目中存在串标行为不具有合理性。其次，《中华人民共和国政府采购法实施条例》第七十四条、《政府采购货物和服务招标投标管理办法》第三十七条已明确规定了“串通投标”的情形，但本项目中的该四家公司并不存在“串通”的情形，不能认定为“串标”，投诉事项不成立。</w:t>
      </w:r>
    </w:p>
    <w:p w14:paraId="43CABB13">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综上，投诉人的投诉无事实依据，投诉事项一、二均不成立。</w:t>
      </w:r>
    </w:p>
    <w:p w14:paraId="71D93493">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以上事实有下列证据为证：</w:t>
      </w:r>
    </w:p>
    <w:p w14:paraId="35423581">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1.当事人1《投诉书》</w:t>
      </w:r>
    </w:p>
    <w:p w14:paraId="6B44D6C1">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2.当事人2、当事人3《关于宜春职业技术学院分体空调项目（第四次）投诉事项的答复函》</w:t>
      </w:r>
    </w:p>
    <w:p w14:paraId="7BD1116A">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3.评标委员会《回复意见》</w:t>
      </w:r>
    </w:p>
    <w:p w14:paraId="58827AF4">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w:t>
      </w:r>
      <w:bookmarkStart w:id="2" w:name="_GoBack"/>
      <w:bookmarkEnd w:id="2"/>
      <w:r>
        <w:rPr>
          <w:rFonts w:hint="eastAsia" w:ascii="仿宋" w:hAnsi="仿宋" w:eastAsia="仿宋" w:cs="仿宋"/>
          <w:sz w:val="28"/>
          <w:szCs w:val="28"/>
          <w:lang w:val="en-US" w:eastAsia="zh-CN"/>
        </w:rPr>
        <w:t>当事人4《回复函》</w:t>
      </w:r>
    </w:p>
    <w:p w14:paraId="4594A857">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5.本项目招标文件、评标报告书、投标文件</w:t>
      </w:r>
    </w:p>
    <w:p w14:paraId="1C4F8E73">
      <w:pPr>
        <w:keepNext w:val="0"/>
        <w:keepLines w:val="0"/>
        <w:pageBreakBefore w:val="0"/>
        <w:widowControl w:val="0"/>
        <w:kinsoku/>
        <w:wordWrap/>
        <w:overflowPunct/>
        <w:topLinePunct w:val="0"/>
        <w:autoSpaceDE/>
        <w:autoSpaceDN/>
        <w:bidi w:val="0"/>
        <w:adjustRightInd/>
        <w:snapToGrid/>
        <w:ind w:firstLine="560" w:firstLineChars="200"/>
        <w:textAlignment w:val="auto"/>
        <w:rPr>
          <w:rFonts w:hint="eastAsia" w:ascii="黑体" w:hAnsi="黑体" w:eastAsia="黑体" w:cs="黑体"/>
          <w:sz w:val="28"/>
          <w:szCs w:val="28"/>
          <w:u w:val="none"/>
        </w:rPr>
      </w:pPr>
      <w:r>
        <w:rPr>
          <w:rFonts w:hint="eastAsia" w:ascii="黑体" w:hAnsi="黑体" w:eastAsia="黑体" w:cs="黑体"/>
          <w:sz w:val="28"/>
          <w:szCs w:val="28"/>
          <w:u w:val="none"/>
        </w:rPr>
        <w:t>五、处理依据及结果</w:t>
      </w:r>
    </w:p>
    <w:p w14:paraId="179D4FE6">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根据《政府采购质疑和投诉办法》（财政部令第94号）第三十一条第一款之规定，本机关决定：投诉事项一成立，但不影响采购结果；投诉事项二不成立。针对本项目中代理机构的问题，本机关会另行提起监督检查。</w:t>
      </w:r>
    </w:p>
    <w:p w14:paraId="3B8899E5">
      <w:pPr>
        <w:ind w:firstLine="560" w:firstLineChars="200"/>
        <w:rPr>
          <w:rFonts w:ascii="黑体" w:hAnsi="黑体" w:eastAsia="黑体" w:cs="仿宋"/>
          <w:sz w:val="28"/>
          <w:szCs w:val="28"/>
        </w:rPr>
      </w:pPr>
      <w:r>
        <w:rPr>
          <w:rFonts w:ascii="黑体" w:hAnsi="黑体" w:eastAsia="黑体" w:cs="仿宋"/>
          <w:sz w:val="28"/>
          <w:szCs w:val="28"/>
        </w:rPr>
        <w:t>六</w:t>
      </w:r>
      <w:r>
        <w:rPr>
          <w:rFonts w:hint="eastAsia" w:ascii="黑体" w:hAnsi="黑体" w:eastAsia="黑体" w:cs="仿宋"/>
          <w:sz w:val="28"/>
          <w:szCs w:val="28"/>
        </w:rPr>
        <w:t>、其他补充事宜</w:t>
      </w:r>
    </w:p>
    <w:p w14:paraId="2932531E">
      <w:pPr>
        <w:ind w:firstLine="560" w:firstLineChars="200"/>
        <w:rPr>
          <w:rFonts w:hint="eastAsia" w:ascii="仿宋" w:hAnsi="仿宋" w:eastAsia="仿宋" w:cs="仿宋"/>
          <w:sz w:val="28"/>
          <w:szCs w:val="28"/>
          <w:u w:val="none"/>
        </w:rPr>
      </w:pPr>
      <w:r>
        <w:rPr>
          <w:rFonts w:hint="eastAsia" w:ascii="仿宋" w:hAnsi="仿宋" w:eastAsia="仿宋" w:cs="仿宋"/>
          <w:sz w:val="28"/>
          <w:szCs w:val="28"/>
          <w:u w:val="none"/>
        </w:rPr>
        <w:t>如对上述处理决定不服，当事人可在收到本决定书起60日内依法向宜春市人民政府申请行政复议或者六个月内依法向上高县人民法院提起行政诉讼。</w:t>
      </w:r>
    </w:p>
    <w:p w14:paraId="705AA988">
      <w:pPr>
        <w:ind w:firstLine="560" w:firstLineChars="200"/>
        <w:rPr>
          <w:rFonts w:hint="eastAsia" w:ascii="仿宋" w:hAnsi="仿宋" w:eastAsia="仿宋" w:cs="仿宋"/>
          <w:sz w:val="28"/>
          <w:szCs w:val="28"/>
          <w:u w:val="none"/>
        </w:rPr>
      </w:pPr>
    </w:p>
    <w:p w14:paraId="15ADC408">
      <w:pPr>
        <w:ind w:firstLine="560" w:firstLineChars="200"/>
        <w:rPr>
          <w:rFonts w:hint="eastAsia" w:ascii="仿宋" w:hAnsi="仿宋" w:eastAsia="仿宋" w:cs="仿宋"/>
          <w:sz w:val="28"/>
          <w:szCs w:val="28"/>
          <w:u w:val="none"/>
        </w:rPr>
      </w:pPr>
    </w:p>
    <w:p w14:paraId="470B5830">
      <w:pPr>
        <w:ind w:firstLine="560" w:firstLineChars="200"/>
        <w:rPr>
          <w:rFonts w:hint="eastAsia" w:ascii="仿宋" w:hAnsi="仿宋" w:eastAsia="仿宋" w:cs="仿宋"/>
          <w:sz w:val="28"/>
          <w:szCs w:val="28"/>
          <w:u w:val="none"/>
        </w:rPr>
      </w:pPr>
    </w:p>
    <w:p w14:paraId="29566684">
      <w:pPr>
        <w:rPr>
          <w:sz w:val="28"/>
          <w:szCs w:val="28"/>
        </w:rPr>
      </w:pPr>
    </w:p>
    <w:p w14:paraId="28C405F2">
      <w:pPr>
        <w:rPr>
          <w:sz w:val="28"/>
          <w:szCs w:val="28"/>
        </w:rPr>
      </w:pPr>
    </w:p>
    <w:p w14:paraId="053BA485">
      <w:pPr>
        <w:widowControl/>
        <w:ind w:right="300"/>
        <w:jc w:val="center"/>
        <w:rPr>
          <w:rFonts w:hint="eastAsia" w:ascii="仿宋" w:hAnsi="仿宋" w:eastAsia="仿宋"/>
          <w:sz w:val="28"/>
          <w:szCs w:val="28"/>
          <w:lang w:val="en-US" w:eastAsia="zh-CN"/>
        </w:rPr>
      </w:pPr>
      <w:r>
        <w:rPr>
          <w:rFonts w:hint="eastAsia" w:ascii="仿宋" w:hAnsi="仿宋" w:eastAsia="仿宋"/>
          <w:sz w:val="28"/>
          <w:szCs w:val="28"/>
          <w:lang w:val="en-US" w:eastAsia="zh-CN"/>
        </w:rPr>
        <w:t xml:space="preserve">                                 宜春市财政局</w:t>
      </w:r>
    </w:p>
    <w:p w14:paraId="28F32853">
      <w:pPr>
        <w:widowControl/>
        <w:ind w:right="300" w:firstLine="5320" w:firstLineChars="1900"/>
        <w:jc w:val="both"/>
      </w:pPr>
      <w:r>
        <w:rPr>
          <w:rFonts w:hint="eastAsia" w:ascii="仿宋" w:hAnsi="仿宋" w:eastAsia="仿宋"/>
          <w:sz w:val="28"/>
          <w:szCs w:val="28"/>
          <w:lang w:val="en-US" w:eastAsia="zh-CN"/>
        </w:rPr>
        <w:t>2024</w:t>
      </w:r>
      <w:r>
        <w:rPr>
          <w:rFonts w:hint="eastAsia" w:ascii="仿宋" w:hAnsi="仿宋" w:eastAsia="仿宋"/>
          <w:sz w:val="28"/>
          <w:szCs w:val="28"/>
        </w:rPr>
        <w:t>年</w:t>
      </w:r>
      <w:r>
        <w:rPr>
          <w:rFonts w:hint="eastAsia" w:ascii="仿宋" w:hAnsi="仿宋" w:eastAsia="仿宋"/>
          <w:sz w:val="28"/>
          <w:szCs w:val="28"/>
          <w:lang w:val="en-US" w:eastAsia="zh-CN"/>
        </w:rPr>
        <w:t>9</w:t>
      </w:r>
      <w:r>
        <w:rPr>
          <w:rFonts w:hint="eastAsia" w:ascii="仿宋" w:hAnsi="仿宋" w:eastAsia="仿宋"/>
          <w:sz w:val="28"/>
          <w:szCs w:val="28"/>
        </w:rPr>
        <w:t>月</w:t>
      </w:r>
      <w:r>
        <w:rPr>
          <w:rFonts w:hint="eastAsia" w:ascii="仿宋" w:hAnsi="仿宋" w:eastAsia="仿宋"/>
          <w:sz w:val="28"/>
          <w:szCs w:val="28"/>
          <w:lang w:val="en-US" w:eastAsia="zh-CN"/>
        </w:rPr>
        <w:t>20</w:t>
      </w:r>
      <w:r>
        <w:rPr>
          <w:rFonts w:hint="eastAsia" w:ascii="仿宋" w:hAnsi="仿宋" w:eastAsia="仿宋"/>
          <w:sz w:val="28"/>
          <w:szCs w:val="28"/>
        </w:rPr>
        <w:t>日</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69663037"/>
    </w:sdtPr>
    <w:sdtContent>
      <w:p w14:paraId="3BD446F9">
        <w:pPr>
          <w:pStyle w:val="9"/>
          <w:jc w:val="center"/>
        </w:pPr>
        <w:r>
          <w:fldChar w:fldCharType="begin"/>
        </w:r>
        <w:r>
          <w:instrText xml:space="preserve">PAGE   \* MERGEFORMAT</w:instrText>
        </w:r>
        <w:r>
          <w:fldChar w:fldCharType="separate"/>
        </w:r>
        <w:r>
          <w:rPr>
            <w:lang w:val="zh-CN"/>
          </w:rPr>
          <w:t>1</w:t>
        </w:r>
        <w:r>
          <w:fldChar w:fldCharType="end"/>
        </w:r>
      </w:p>
    </w:sdtContent>
  </w:sdt>
  <w:p w14:paraId="73D5BCCB">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djYzY1YjA5MjM4ZWI5ZWY0MWFiYjFiNzE2MmJhYTAifQ=="/>
  </w:docVars>
  <w:rsids>
    <w:rsidRoot w:val="00244094"/>
    <w:rsid w:val="000312DE"/>
    <w:rsid w:val="0005737B"/>
    <w:rsid w:val="000726D8"/>
    <w:rsid w:val="000A6769"/>
    <w:rsid w:val="000D3B95"/>
    <w:rsid w:val="000D5040"/>
    <w:rsid w:val="000D6508"/>
    <w:rsid w:val="00110BD8"/>
    <w:rsid w:val="00151C8B"/>
    <w:rsid w:val="00244094"/>
    <w:rsid w:val="00246690"/>
    <w:rsid w:val="002F4172"/>
    <w:rsid w:val="00322E12"/>
    <w:rsid w:val="003D04C7"/>
    <w:rsid w:val="00430D5D"/>
    <w:rsid w:val="00445621"/>
    <w:rsid w:val="004B0417"/>
    <w:rsid w:val="004F0CA3"/>
    <w:rsid w:val="004F449A"/>
    <w:rsid w:val="005902A4"/>
    <w:rsid w:val="006939FC"/>
    <w:rsid w:val="0079663A"/>
    <w:rsid w:val="007E2D83"/>
    <w:rsid w:val="0080774A"/>
    <w:rsid w:val="00877C6E"/>
    <w:rsid w:val="008974EE"/>
    <w:rsid w:val="008A1192"/>
    <w:rsid w:val="008A2FE7"/>
    <w:rsid w:val="0090581E"/>
    <w:rsid w:val="00966F02"/>
    <w:rsid w:val="009A15C7"/>
    <w:rsid w:val="00A30F31"/>
    <w:rsid w:val="00A3374C"/>
    <w:rsid w:val="00C37A88"/>
    <w:rsid w:val="00C52F06"/>
    <w:rsid w:val="00C61BBE"/>
    <w:rsid w:val="00C95981"/>
    <w:rsid w:val="00D26832"/>
    <w:rsid w:val="00DA7067"/>
    <w:rsid w:val="00DC09FA"/>
    <w:rsid w:val="00E457B7"/>
    <w:rsid w:val="00E702D6"/>
    <w:rsid w:val="00E75E92"/>
    <w:rsid w:val="00ED7C2A"/>
    <w:rsid w:val="00EE3266"/>
    <w:rsid w:val="00F53A4B"/>
    <w:rsid w:val="01DE4120"/>
    <w:rsid w:val="02A97FD3"/>
    <w:rsid w:val="17B20E6E"/>
    <w:rsid w:val="1CC84349"/>
    <w:rsid w:val="216F57E1"/>
    <w:rsid w:val="217C6D52"/>
    <w:rsid w:val="25297DD9"/>
    <w:rsid w:val="30542E26"/>
    <w:rsid w:val="37253E8A"/>
    <w:rsid w:val="37F73E46"/>
    <w:rsid w:val="3CC94683"/>
    <w:rsid w:val="3D8569E6"/>
    <w:rsid w:val="3FC438CC"/>
    <w:rsid w:val="494A433D"/>
    <w:rsid w:val="4DC501DE"/>
    <w:rsid w:val="59750590"/>
    <w:rsid w:val="5A44567C"/>
    <w:rsid w:val="624618AF"/>
    <w:rsid w:val="6F49019A"/>
    <w:rsid w:val="6FB53E4B"/>
    <w:rsid w:val="739E555E"/>
    <w:rsid w:val="7A127E1E"/>
    <w:rsid w:val="7E6C6CF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23"/>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4"/>
    <w:qFormat/>
    <w:uiPriority w:val="0"/>
    <w:pPr>
      <w:keepNext/>
      <w:keepLines/>
      <w:spacing w:before="260" w:after="260" w:line="415" w:lineRule="auto"/>
      <w:outlineLvl w:val="1"/>
    </w:pPr>
    <w:rPr>
      <w:rFonts w:ascii="Arial" w:hAnsi="Arial" w:eastAsia="黑体" w:cs="Arial"/>
      <w:b/>
      <w:bCs/>
      <w:sz w:val="32"/>
      <w:szCs w:val="32"/>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link w:val="25"/>
    <w:semiHidden/>
    <w:unhideWhenUsed/>
    <w:qFormat/>
    <w:uiPriority w:val="99"/>
    <w:pPr>
      <w:jc w:val="left"/>
    </w:pPr>
  </w:style>
  <w:style w:type="paragraph" w:styleId="5">
    <w:name w:val="toc 3"/>
    <w:basedOn w:val="1"/>
    <w:next w:val="1"/>
    <w:unhideWhenUsed/>
    <w:qFormat/>
    <w:uiPriority w:val="39"/>
    <w:pPr>
      <w:widowControl/>
      <w:spacing w:after="100" w:line="259" w:lineRule="auto"/>
      <w:ind w:left="440"/>
      <w:jc w:val="left"/>
    </w:pPr>
    <w:rPr>
      <w:rFonts w:asciiTheme="minorHAnsi" w:hAnsiTheme="minorHAnsi" w:eastAsiaTheme="minorEastAsia"/>
      <w:kern w:val="0"/>
      <w:sz w:val="22"/>
      <w:szCs w:val="22"/>
    </w:rPr>
  </w:style>
  <w:style w:type="paragraph" w:styleId="6">
    <w:name w:val="Plain Text"/>
    <w:basedOn w:val="1"/>
    <w:link w:val="26"/>
    <w:autoRedefine/>
    <w:qFormat/>
    <w:uiPriority w:val="0"/>
    <w:rPr>
      <w:rFonts w:ascii="宋体" w:hAnsi="Courier New" w:eastAsiaTheme="minorEastAsia" w:cstheme="minorBidi"/>
      <w:szCs w:val="22"/>
    </w:rPr>
  </w:style>
  <w:style w:type="paragraph" w:styleId="7">
    <w:name w:val="Date"/>
    <w:basedOn w:val="1"/>
    <w:next w:val="1"/>
    <w:link w:val="27"/>
    <w:qFormat/>
    <w:uiPriority w:val="0"/>
    <w:pPr>
      <w:adjustRightInd w:val="0"/>
      <w:spacing w:line="360" w:lineRule="atLeast"/>
      <w:textAlignment w:val="baseline"/>
    </w:pPr>
    <w:rPr>
      <w:rFonts w:ascii="宋体" w:cs="宋体"/>
      <w:kern w:val="0"/>
      <w:sz w:val="24"/>
      <w:szCs w:val="24"/>
    </w:rPr>
  </w:style>
  <w:style w:type="paragraph" w:styleId="8">
    <w:name w:val="Balloon Text"/>
    <w:basedOn w:val="1"/>
    <w:link w:val="28"/>
    <w:semiHidden/>
    <w:unhideWhenUsed/>
    <w:qFormat/>
    <w:uiPriority w:val="99"/>
    <w:rPr>
      <w:sz w:val="18"/>
      <w:szCs w:val="18"/>
    </w:rPr>
  </w:style>
  <w:style w:type="paragraph" w:styleId="9">
    <w:name w:val="footer"/>
    <w:basedOn w:val="1"/>
    <w:link w:val="22"/>
    <w:autoRedefine/>
    <w:unhideWhenUsed/>
    <w:qFormat/>
    <w:uiPriority w:val="99"/>
    <w:pPr>
      <w:tabs>
        <w:tab w:val="center" w:pos="4153"/>
        <w:tab w:val="right" w:pos="8306"/>
      </w:tabs>
      <w:snapToGrid w:val="0"/>
      <w:jc w:val="left"/>
    </w:pPr>
    <w:rPr>
      <w:sz w:val="18"/>
      <w:szCs w:val="18"/>
    </w:rPr>
  </w:style>
  <w:style w:type="paragraph" w:styleId="10">
    <w:name w:val="header"/>
    <w:basedOn w:val="1"/>
    <w:link w:val="2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autoRedefine/>
    <w:unhideWhenUsed/>
    <w:qFormat/>
    <w:uiPriority w:val="39"/>
    <w:pPr>
      <w:widowControl/>
      <w:spacing w:after="100" w:line="259" w:lineRule="auto"/>
      <w:jc w:val="left"/>
    </w:pPr>
    <w:rPr>
      <w:rFonts w:asciiTheme="minorHAnsi" w:hAnsiTheme="minorHAnsi" w:eastAsiaTheme="minorEastAsia"/>
      <w:kern w:val="0"/>
      <w:sz w:val="22"/>
      <w:szCs w:val="22"/>
    </w:rPr>
  </w:style>
  <w:style w:type="paragraph" w:styleId="12">
    <w:name w:val="toc 2"/>
    <w:basedOn w:val="1"/>
    <w:next w:val="1"/>
    <w:autoRedefine/>
    <w:unhideWhenUsed/>
    <w:qFormat/>
    <w:uiPriority w:val="39"/>
    <w:pPr>
      <w:widowControl/>
      <w:spacing w:after="100" w:line="259" w:lineRule="auto"/>
      <w:ind w:left="220"/>
      <w:jc w:val="left"/>
    </w:pPr>
    <w:rPr>
      <w:rFonts w:asciiTheme="minorHAnsi" w:hAnsiTheme="minorHAnsi" w:eastAsiaTheme="minorEastAsia"/>
      <w:kern w:val="0"/>
      <w:sz w:val="22"/>
      <w:szCs w:val="22"/>
    </w:rPr>
  </w:style>
  <w:style w:type="paragraph" w:styleId="13">
    <w:name w:val="Body Text 2"/>
    <w:basedOn w:val="1"/>
    <w:link w:val="29"/>
    <w:autoRedefine/>
    <w:qFormat/>
    <w:uiPriority w:val="0"/>
    <w:pPr>
      <w:spacing w:after="120" w:line="480" w:lineRule="auto"/>
    </w:pPr>
  </w:style>
  <w:style w:type="paragraph" w:styleId="14">
    <w:name w:val="Normal (Web)"/>
    <w:basedOn w:val="1"/>
    <w:autoRedefine/>
    <w:semiHidden/>
    <w:unhideWhenUsed/>
    <w:qFormat/>
    <w:uiPriority w:val="99"/>
    <w:pPr>
      <w:widowControl/>
      <w:spacing w:before="100" w:beforeAutospacing="1" w:after="100" w:afterAutospacing="1"/>
      <w:jc w:val="left"/>
    </w:pPr>
    <w:rPr>
      <w:rFonts w:ascii="宋体" w:hAnsi="宋体" w:cs="宋体"/>
      <w:kern w:val="0"/>
      <w:sz w:val="24"/>
      <w:szCs w:val="24"/>
    </w:rPr>
  </w:style>
  <w:style w:type="paragraph" w:styleId="15">
    <w:name w:val="annotation subject"/>
    <w:basedOn w:val="4"/>
    <w:next w:val="4"/>
    <w:link w:val="30"/>
    <w:autoRedefine/>
    <w:semiHidden/>
    <w:unhideWhenUsed/>
    <w:qFormat/>
    <w:uiPriority w:val="99"/>
    <w:rPr>
      <w:b/>
      <w:bCs/>
    </w:rPr>
  </w:style>
  <w:style w:type="table" w:styleId="17">
    <w:name w:val="Table Grid"/>
    <w:basedOn w:val="16"/>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Hyperlink"/>
    <w:basedOn w:val="18"/>
    <w:autoRedefine/>
    <w:unhideWhenUsed/>
    <w:qFormat/>
    <w:uiPriority w:val="99"/>
    <w:rPr>
      <w:color w:val="0000FF" w:themeColor="hyperlink"/>
      <w:u w:val="single"/>
      <w14:textFill>
        <w14:solidFill>
          <w14:schemeClr w14:val="hlink"/>
        </w14:solidFill>
      </w14:textFill>
    </w:rPr>
  </w:style>
  <w:style w:type="character" w:styleId="20">
    <w:name w:val="annotation reference"/>
    <w:basedOn w:val="18"/>
    <w:autoRedefine/>
    <w:semiHidden/>
    <w:unhideWhenUsed/>
    <w:qFormat/>
    <w:uiPriority w:val="99"/>
    <w:rPr>
      <w:sz w:val="21"/>
      <w:szCs w:val="21"/>
    </w:rPr>
  </w:style>
  <w:style w:type="character" w:customStyle="1" w:styleId="21">
    <w:name w:val="页眉 Char"/>
    <w:basedOn w:val="18"/>
    <w:link w:val="10"/>
    <w:autoRedefine/>
    <w:qFormat/>
    <w:uiPriority w:val="99"/>
    <w:rPr>
      <w:sz w:val="18"/>
      <w:szCs w:val="18"/>
    </w:rPr>
  </w:style>
  <w:style w:type="character" w:customStyle="1" w:styleId="22">
    <w:name w:val="页脚 Char"/>
    <w:basedOn w:val="18"/>
    <w:link w:val="9"/>
    <w:autoRedefine/>
    <w:qFormat/>
    <w:uiPriority w:val="99"/>
    <w:rPr>
      <w:sz w:val="18"/>
      <w:szCs w:val="18"/>
    </w:rPr>
  </w:style>
  <w:style w:type="character" w:customStyle="1" w:styleId="23">
    <w:name w:val="标题 1 Char"/>
    <w:basedOn w:val="18"/>
    <w:link w:val="2"/>
    <w:qFormat/>
    <w:uiPriority w:val="9"/>
    <w:rPr>
      <w:rFonts w:ascii="Times New Roman" w:hAnsi="Times New Roman" w:eastAsia="宋体" w:cs="Times New Roman"/>
      <w:b/>
      <w:bCs/>
      <w:kern w:val="44"/>
      <w:sz w:val="44"/>
      <w:szCs w:val="44"/>
    </w:rPr>
  </w:style>
  <w:style w:type="character" w:customStyle="1" w:styleId="24">
    <w:name w:val="标题 2 Char"/>
    <w:basedOn w:val="18"/>
    <w:link w:val="3"/>
    <w:autoRedefine/>
    <w:qFormat/>
    <w:uiPriority w:val="0"/>
    <w:rPr>
      <w:rFonts w:ascii="Arial" w:hAnsi="Arial" w:eastAsia="黑体" w:cs="Arial"/>
      <w:b/>
      <w:bCs/>
      <w:sz w:val="32"/>
      <w:szCs w:val="32"/>
    </w:rPr>
  </w:style>
  <w:style w:type="character" w:customStyle="1" w:styleId="25">
    <w:name w:val="批注文字 Char"/>
    <w:basedOn w:val="18"/>
    <w:link w:val="4"/>
    <w:semiHidden/>
    <w:qFormat/>
    <w:uiPriority w:val="99"/>
    <w:rPr>
      <w:rFonts w:ascii="Times New Roman" w:hAnsi="Times New Roman" w:eastAsia="宋体" w:cs="Times New Roman"/>
      <w:szCs w:val="21"/>
    </w:rPr>
  </w:style>
  <w:style w:type="character" w:customStyle="1" w:styleId="26">
    <w:name w:val="纯文本 Char"/>
    <w:basedOn w:val="18"/>
    <w:link w:val="6"/>
    <w:qFormat/>
    <w:uiPriority w:val="0"/>
    <w:rPr>
      <w:rFonts w:ascii="宋体" w:hAnsi="Courier New"/>
    </w:rPr>
  </w:style>
  <w:style w:type="character" w:customStyle="1" w:styleId="27">
    <w:name w:val="日期 Char"/>
    <w:basedOn w:val="18"/>
    <w:link w:val="7"/>
    <w:qFormat/>
    <w:uiPriority w:val="0"/>
    <w:rPr>
      <w:rFonts w:ascii="宋体" w:hAnsi="Times New Roman" w:eastAsia="宋体" w:cs="宋体"/>
      <w:kern w:val="0"/>
      <w:sz w:val="24"/>
      <w:szCs w:val="24"/>
    </w:rPr>
  </w:style>
  <w:style w:type="character" w:customStyle="1" w:styleId="28">
    <w:name w:val="批注框文本 Char"/>
    <w:basedOn w:val="18"/>
    <w:link w:val="8"/>
    <w:autoRedefine/>
    <w:semiHidden/>
    <w:qFormat/>
    <w:uiPriority w:val="99"/>
    <w:rPr>
      <w:rFonts w:ascii="Times New Roman" w:hAnsi="Times New Roman" w:eastAsia="宋体" w:cs="Times New Roman"/>
      <w:sz w:val="18"/>
      <w:szCs w:val="18"/>
    </w:rPr>
  </w:style>
  <w:style w:type="character" w:customStyle="1" w:styleId="29">
    <w:name w:val="正文文本 2 Char"/>
    <w:basedOn w:val="18"/>
    <w:link w:val="13"/>
    <w:autoRedefine/>
    <w:qFormat/>
    <w:uiPriority w:val="0"/>
    <w:rPr>
      <w:rFonts w:ascii="Times New Roman" w:hAnsi="Times New Roman" w:eastAsia="宋体" w:cs="Times New Roman"/>
      <w:szCs w:val="21"/>
    </w:rPr>
  </w:style>
  <w:style w:type="character" w:customStyle="1" w:styleId="30">
    <w:name w:val="批注主题 Char"/>
    <w:basedOn w:val="25"/>
    <w:link w:val="15"/>
    <w:autoRedefine/>
    <w:semiHidden/>
    <w:qFormat/>
    <w:uiPriority w:val="99"/>
    <w:rPr>
      <w:rFonts w:ascii="Times New Roman" w:hAnsi="Times New Roman" w:eastAsia="宋体" w:cs="Times New Roman"/>
      <w:b/>
      <w:bCs/>
      <w:szCs w:val="21"/>
    </w:rPr>
  </w:style>
  <w:style w:type="character" w:customStyle="1" w:styleId="31">
    <w:name w:val="纯文本 字符"/>
    <w:basedOn w:val="18"/>
    <w:autoRedefine/>
    <w:semiHidden/>
    <w:qFormat/>
    <w:uiPriority w:val="99"/>
    <w:rPr>
      <w:rFonts w:hAnsi="Courier New" w:cs="Courier New" w:asciiTheme="minorEastAsia"/>
      <w:szCs w:val="21"/>
    </w:rPr>
  </w:style>
  <w:style w:type="paragraph" w:styleId="32">
    <w:name w:val="List Paragraph"/>
    <w:basedOn w:val="1"/>
    <w:autoRedefine/>
    <w:qFormat/>
    <w:uiPriority w:val="34"/>
    <w:pPr>
      <w:ind w:firstLine="420" w:firstLineChars="200"/>
    </w:pPr>
  </w:style>
  <w:style w:type="paragraph" w:customStyle="1" w:styleId="33">
    <w:name w:val="修订1"/>
    <w:autoRedefine/>
    <w:hidden/>
    <w:semiHidden/>
    <w:qFormat/>
    <w:uiPriority w:val="99"/>
    <w:rPr>
      <w:rFonts w:ascii="Times New Roman" w:hAnsi="Times New Roman" w:eastAsia="宋体" w:cs="Times New Roman"/>
      <w:kern w:val="2"/>
      <w:sz w:val="21"/>
      <w:szCs w:val="21"/>
      <w:lang w:val="en-US" w:eastAsia="zh-CN" w:bidi="ar-SA"/>
    </w:rPr>
  </w:style>
  <w:style w:type="paragraph" w:customStyle="1" w:styleId="34">
    <w:name w:val="TOC 标题1"/>
    <w:basedOn w:val="2"/>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76092" w:themeColor="accent1" w:themeShade="BF"/>
      <w:kern w:val="0"/>
      <w:sz w:val="32"/>
      <w:szCs w:val="32"/>
    </w:rPr>
  </w:style>
  <w:style w:type="paragraph" w:customStyle="1" w:styleId="35">
    <w:name w:val="TOC Heading"/>
    <w:basedOn w:val="2"/>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6">
    <w:name w:val="qowt-font10-gbk"/>
    <w:basedOn w:val="18"/>
    <w:autoRedefine/>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9</Pages>
  <Words>1727</Words>
  <Characters>1964</Characters>
  <Lines>57</Lines>
  <Paragraphs>16</Paragraphs>
  <TotalTime>22</TotalTime>
  <ScaleCrop>false</ScaleCrop>
  <LinksUpToDate>false</LinksUpToDate>
  <CharactersWithSpaces>2045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2020-03-18T03:22:00Z</dcterms:created>
  <dc:creator>赵璧</dc:creator>
  <cp:lastModifiedBy>lips</cp:lastModifiedBy>
  <cp:lastPrinted>2020-03-23T07:37:00Z</cp:lastPrinted>
  <dcterms:modified xsi:type="dcterms:W3CDTF">2024-10-21T09:04:02Z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9D8259E6AE174524BE0D78EA05534103_13</vt:lpwstr>
  </property>
</Properties>
</file>